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BB" w:rsidRDefault="00D03ABB" w:rsidP="00D03ABB">
      <w:pPr>
        <w:spacing w:after="0" w:line="240" w:lineRule="auto"/>
        <w:ind w:right="-284"/>
        <w:jc w:val="center"/>
        <w:rPr>
          <w:rFonts w:ascii="Calibri" w:hAnsi="Calibri" w:cs="Calibri"/>
          <w:b/>
          <w:sz w:val="40"/>
          <w:szCs w:val="40"/>
        </w:rPr>
      </w:pPr>
    </w:p>
    <w:p w:rsidR="00D03ABB" w:rsidRDefault="00D03ABB" w:rsidP="00D03ABB">
      <w:pPr>
        <w:spacing w:after="0" w:line="240" w:lineRule="auto"/>
        <w:ind w:right="-284"/>
        <w:jc w:val="center"/>
        <w:rPr>
          <w:rFonts w:ascii="Calibri" w:hAnsi="Calibri" w:cs="Calibri"/>
          <w:b/>
          <w:sz w:val="40"/>
          <w:szCs w:val="40"/>
        </w:rPr>
      </w:pPr>
      <w:r>
        <w:rPr>
          <w:rFonts w:ascii="Calibri" w:hAnsi="Calibri" w:cs="Calibri"/>
          <w:b/>
          <w:sz w:val="40"/>
          <w:szCs w:val="40"/>
        </w:rPr>
        <w:t>Akenerji’nin HES yatırımlarının olduğu bölgelerdeki “eğitim” çalışmaları hız kesmeden sürüyor. Akenerji  bu kez Adıyaman’da öğrencileri ve yerel halkı</w:t>
      </w:r>
      <w:r>
        <w:rPr>
          <w:rFonts w:ascii="Calibri" w:hAnsi="Calibri" w:cs="Calibri"/>
          <w:b/>
          <w:sz w:val="40"/>
          <w:szCs w:val="40"/>
        </w:rPr>
        <w:br/>
        <w:t>hidroelektrik santralleri ve olası tehlikelere karşı alınan güvenlik önlemleri hakkında bilgilendirdi.</w:t>
      </w:r>
    </w:p>
    <w:p w:rsidR="00D03ABB" w:rsidRPr="000B3606" w:rsidRDefault="00D03ABB" w:rsidP="00D03ABB">
      <w:pPr>
        <w:rPr>
          <w:rFonts w:ascii="Calibri" w:hAnsi="Calibri" w:cs="Calibri"/>
          <w:b/>
          <w:sz w:val="24"/>
          <w:szCs w:val="24"/>
        </w:rPr>
      </w:pPr>
      <w:r>
        <w:rPr>
          <w:rFonts w:ascii="Calibri" w:hAnsi="Calibri" w:cs="Calibri"/>
          <w:b/>
          <w:sz w:val="40"/>
          <w:szCs w:val="40"/>
        </w:rPr>
        <w:br/>
      </w:r>
      <w:r w:rsidRPr="000B3606">
        <w:rPr>
          <w:rFonts w:ascii="Calibri" w:hAnsi="Calibri" w:cs="Calibri"/>
          <w:b/>
          <w:sz w:val="24"/>
          <w:szCs w:val="24"/>
        </w:rPr>
        <w:t>Akenerji, Hidroelektrik Santral yatırımlarının bulunduğu bölgelerdeki okullarda eğitim çalışmalarını hız kesmeden sürdürüyor. Akenerji uzmanları Adana’dan sonra, Adıyaman’daydı.  HES yatırımlarının bulunduğu bölgede toplam 208 öğrenci ve 5 öğretmene  santrallerle ilgili bilgilendirme yapıldı.  Çevredeki vatandaşların olası kazalara karşı korunması için Şirket tarafından alınan güvenlik önlemeleri hakkında bilgi vererek, yöre halkı tarafından da dikkat e</w:t>
      </w:r>
      <w:r w:rsidR="000B3606">
        <w:rPr>
          <w:rFonts w:ascii="Calibri" w:hAnsi="Calibri" w:cs="Calibri"/>
          <w:b/>
          <w:sz w:val="24"/>
          <w:szCs w:val="24"/>
        </w:rPr>
        <w:t>dilmesi gereken hususlar  anlat</w:t>
      </w:r>
      <w:r w:rsidRPr="000B3606">
        <w:rPr>
          <w:rFonts w:ascii="Calibri" w:hAnsi="Calibri" w:cs="Calibri"/>
          <w:b/>
          <w:sz w:val="24"/>
          <w:szCs w:val="24"/>
        </w:rPr>
        <w:t xml:space="preserve">ıldı. </w:t>
      </w:r>
    </w:p>
    <w:p w:rsidR="00D03ABB" w:rsidRPr="000B3606" w:rsidRDefault="00D03ABB" w:rsidP="00D03ABB">
      <w:pPr>
        <w:rPr>
          <w:rFonts w:ascii="Calibri" w:hAnsi="Calibri" w:cs="Calibri"/>
          <w:sz w:val="24"/>
          <w:szCs w:val="24"/>
        </w:rPr>
      </w:pPr>
      <w:r w:rsidRPr="000B3606">
        <w:rPr>
          <w:rFonts w:ascii="Calibri" w:hAnsi="Calibri" w:cs="Calibri"/>
          <w:sz w:val="24"/>
          <w:szCs w:val="24"/>
        </w:rPr>
        <w:t>Türkiye’de enerji sektörünün öncü kuruluşlarından Akenerji,  2013 yılından bu yana sürdürdüğü ‘HES Bilgilendirme Toplantıları’na devam ediyor.</w:t>
      </w:r>
    </w:p>
    <w:p w:rsidR="00D03ABB" w:rsidRPr="000B3606" w:rsidRDefault="00D03ABB" w:rsidP="00D03ABB">
      <w:pPr>
        <w:rPr>
          <w:rStyle w:val="Strong"/>
          <w:sz w:val="24"/>
          <w:szCs w:val="24"/>
        </w:rPr>
      </w:pPr>
      <w:r w:rsidRPr="000B3606">
        <w:rPr>
          <w:rFonts w:ascii="Calibri" w:hAnsi="Calibri" w:cs="Calibri"/>
          <w:sz w:val="24"/>
          <w:szCs w:val="24"/>
        </w:rPr>
        <w:t xml:space="preserve"> 20  Kasım haftasında Adıyaman’da gerçekleştirilen eğitimlerde </w:t>
      </w:r>
      <w:r w:rsidRPr="000B3606">
        <w:rPr>
          <w:rFonts w:cstheme="minorHAnsi"/>
          <w:sz w:val="24"/>
          <w:szCs w:val="24"/>
        </w:rPr>
        <w:t xml:space="preserve">Akenerji Çevre, Kalite, İş Sağlığı ve Güvenliği Müdürlüğü ve santral yetkilileri </w:t>
      </w:r>
      <w:r w:rsidRPr="000B3606">
        <w:rPr>
          <w:rStyle w:val="Strong"/>
          <w:rFonts w:ascii="Calibri" w:hAnsi="Calibri" w:cs="Calibri"/>
          <w:sz w:val="24"/>
          <w:szCs w:val="24"/>
        </w:rPr>
        <w:t xml:space="preserve">Hidroelektrik santralleri etrafında alınan güvenlik önlemleri ve santrallerin çalışma prensipleriyle ilgili öğrencilere ve yerel halka bilgiler verdi. </w:t>
      </w:r>
    </w:p>
    <w:p w:rsidR="00D03ABB" w:rsidRPr="000B3606" w:rsidRDefault="00D03ABB" w:rsidP="00D03ABB">
      <w:pPr>
        <w:rPr>
          <w:rStyle w:val="Strong"/>
          <w:rFonts w:ascii="Calibri" w:hAnsi="Calibri" w:cs="Calibri"/>
          <w:sz w:val="24"/>
          <w:szCs w:val="24"/>
        </w:rPr>
      </w:pPr>
      <w:r w:rsidRPr="000B3606">
        <w:rPr>
          <w:rStyle w:val="Strong"/>
          <w:rFonts w:ascii="Calibri" w:hAnsi="Calibri" w:cs="Calibri"/>
          <w:sz w:val="24"/>
          <w:szCs w:val="24"/>
        </w:rPr>
        <w:t>Akenerji’nin HES Eğitimlerinin düzenlendiği okullar:</w:t>
      </w:r>
    </w:p>
    <w:p w:rsidR="00D03ABB" w:rsidRPr="000B3606" w:rsidRDefault="00D03ABB" w:rsidP="00D03ABB">
      <w:pPr>
        <w:rPr>
          <w:sz w:val="24"/>
          <w:szCs w:val="24"/>
        </w:rPr>
      </w:pPr>
      <w:r w:rsidRPr="000B3606">
        <w:rPr>
          <w:sz w:val="24"/>
          <w:szCs w:val="24"/>
        </w:rPr>
        <w:t>Yeşiltepe İlk/Ortaokulu</w:t>
      </w:r>
    </w:p>
    <w:p w:rsidR="00D03ABB" w:rsidRPr="000B3606" w:rsidRDefault="00D03ABB" w:rsidP="00D03ABB">
      <w:pPr>
        <w:rPr>
          <w:sz w:val="24"/>
          <w:szCs w:val="24"/>
        </w:rPr>
      </w:pPr>
      <w:r w:rsidRPr="000B3606">
        <w:rPr>
          <w:sz w:val="24"/>
          <w:szCs w:val="24"/>
        </w:rPr>
        <w:t>Kızılin Anadolu Lisesi</w:t>
      </w:r>
    </w:p>
    <w:p w:rsidR="00D03ABB" w:rsidRPr="000B3606" w:rsidRDefault="00D03ABB" w:rsidP="00D03ABB">
      <w:pPr>
        <w:spacing w:after="0" w:line="240" w:lineRule="auto"/>
        <w:ind w:right="-284"/>
        <w:rPr>
          <w:rFonts w:ascii="Calibri" w:hAnsi="Calibri" w:cs="Calibri"/>
          <w:sz w:val="24"/>
          <w:szCs w:val="24"/>
        </w:rPr>
      </w:pPr>
      <w:r w:rsidRPr="000B3606">
        <w:rPr>
          <w:rStyle w:val="Strong"/>
          <w:rFonts w:ascii="Calibri" w:hAnsi="Calibri" w:cs="Calibri"/>
          <w:sz w:val="24"/>
          <w:szCs w:val="24"/>
        </w:rPr>
        <w:t xml:space="preserve">Akenerji eğitimlerine toplamda 208 öğrenci ve 5 öğretmen katıldı.  </w:t>
      </w:r>
      <w:r w:rsidRPr="000B3606">
        <w:rPr>
          <w:rFonts w:ascii="Calibri" w:hAnsi="Calibri" w:cs="Calibri"/>
          <w:b/>
          <w:sz w:val="24"/>
          <w:szCs w:val="24"/>
        </w:rPr>
        <w:t>Ayrıca eğitimler sırasında öğrenci,öğretmen ve yerel halka 203 adet bilgilendirici broşür ve 5 adet de afiş dağıtıldı.</w:t>
      </w:r>
      <w:r w:rsidRPr="000B3606">
        <w:rPr>
          <w:rFonts w:ascii="Calibri" w:hAnsi="Calibri" w:cs="Calibri"/>
          <w:sz w:val="24"/>
          <w:szCs w:val="24"/>
        </w:rPr>
        <w:t xml:space="preserve"> </w:t>
      </w:r>
    </w:p>
    <w:p w:rsidR="00D03ABB" w:rsidRPr="000B3606" w:rsidRDefault="00D03ABB" w:rsidP="00D03ABB">
      <w:pPr>
        <w:spacing w:after="0" w:line="240" w:lineRule="auto"/>
        <w:ind w:right="-284"/>
        <w:rPr>
          <w:rFonts w:ascii="Calibri" w:hAnsi="Calibri" w:cs="Calibri"/>
          <w:sz w:val="24"/>
          <w:szCs w:val="24"/>
        </w:rPr>
      </w:pPr>
    </w:p>
    <w:p w:rsidR="00D03ABB" w:rsidRPr="000B3606" w:rsidRDefault="00D03ABB" w:rsidP="00D03ABB">
      <w:pPr>
        <w:rPr>
          <w:sz w:val="24"/>
          <w:szCs w:val="24"/>
        </w:rPr>
      </w:pPr>
      <w:r w:rsidRPr="000B3606">
        <w:rPr>
          <w:sz w:val="24"/>
          <w:szCs w:val="24"/>
        </w:rPr>
        <w:t xml:space="preserve">Akenerji uzmanları Sayören köyünde de halkla biraraya gelerek, bölgede yaşayanları Hidroelektirk Santralleri ile ilgili bilgilendirdi. </w:t>
      </w:r>
    </w:p>
    <w:p w:rsidR="00D03ABB" w:rsidRPr="000B3606" w:rsidRDefault="00D03ABB" w:rsidP="00D03ABB">
      <w:pPr>
        <w:spacing w:after="0" w:line="240" w:lineRule="auto"/>
        <w:ind w:right="-284"/>
        <w:rPr>
          <w:sz w:val="24"/>
          <w:szCs w:val="24"/>
        </w:rPr>
      </w:pPr>
      <w:r w:rsidRPr="000B3606">
        <w:rPr>
          <w:rStyle w:val="Strong"/>
          <w:rFonts w:ascii="Calibri" w:hAnsi="Calibri" w:cs="Calibri"/>
          <w:b w:val="0"/>
          <w:sz w:val="24"/>
          <w:szCs w:val="24"/>
        </w:rPr>
        <w:t xml:space="preserve">Bölgedeki  okullarda düzenlenen eğitimlerde </w:t>
      </w:r>
      <w:r w:rsidRPr="000B3606">
        <w:rPr>
          <w:rFonts w:ascii="Calibri" w:hAnsi="Calibri" w:cs="Calibri"/>
          <w:sz w:val="24"/>
          <w:szCs w:val="24"/>
        </w:rPr>
        <w:t xml:space="preserve">Akenerji’nin devreye aldığı BURÇ ve BULAM Hidroelektrik Santralleri çevresinde yaşayanların güvenlikleri için dikkat etmesi gerekenler ve  “sesli ve ışıklı uyarı sistemleri” detaylı şekilde anlatıldı. </w:t>
      </w:r>
    </w:p>
    <w:p w:rsidR="00D03ABB" w:rsidRPr="000B3606" w:rsidRDefault="00D03ABB" w:rsidP="00D03ABB">
      <w:pPr>
        <w:spacing w:after="0" w:line="240" w:lineRule="auto"/>
        <w:ind w:right="-284"/>
        <w:rPr>
          <w:rFonts w:ascii="Calibri" w:hAnsi="Calibri" w:cs="Calibri"/>
          <w:sz w:val="24"/>
          <w:szCs w:val="24"/>
        </w:rPr>
      </w:pPr>
    </w:p>
    <w:p w:rsidR="00D03ABB" w:rsidRPr="000B3606" w:rsidRDefault="00D03ABB" w:rsidP="00D03ABB">
      <w:pPr>
        <w:spacing w:after="0" w:line="240" w:lineRule="auto"/>
        <w:ind w:right="-284"/>
        <w:rPr>
          <w:rFonts w:ascii="Calibri" w:hAnsi="Calibri" w:cs="Calibri"/>
          <w:sz w:val="24"/>
          <w:szCs w:val="24"/>
        </w:rPr>
      </w:pPr>
      <w:r w:rsidRPr="000B3606">
        <w:rPr>
          <w:rFonts w:ascii="Calibri" w:hAnsi="Calibri" w:cs="Calibri"/>
          <w:sz w:val="24"/>
          <w:szCs w:val="24"/>
        </w:rPr>
        <w:t>Toplantılarla öğrencilerin ve öğretmenlerin bilinçlenmesi sağlandı. Yapılan sunumlar sayesinde çocuklar, yenilenebilir enerji ve elektrik üretimi ile ilgili detaylı bilgi sahibi oldu.</w:t>
      </w:r>
    </w:p>
    <w:p w:rsidR="00D03ABB" w:rsidRDefault="00D03ABB" w:rsidP="00D03ABB">
      <w:pPr>
        <w:spacing w:after="0" w:line="240" w:lineRule="auto"/>
        <w:ind w:right="-284"/>
        <w:rPr>
          <w:rFonts w:ascii="Calibri" w:hAnsi="Calibri" w:cs="Calibri"/>
          <w:sz w:val="24"/>
          <w:szCs w:val="24"/>
        </w:rPr>
      </w:pPr>
    </w:p>
    <w:p w:rsidR="00D03ABB" w:rsidRDefault="00D03ABB" w:rsidP="00D03ABB">
      <w:pPr>
        <w:spacing w:after="0" w:line="240" w:lineRule="auto"/>
        <w:ind w:right="-284"/>
        <w:rPr>
          <w:rFonts w:ascii="Calibri" w:hAnsi="Calibri" w:cs="Calibri"/>
          <w:sz w:val="24"/>
          <w:szCs w:val="24"/>
        </w:rPr>
      </w:pPr>
      <w:r>
        <w:rPr>
          <w:rFonts w:ascii="Calibri" w:hAnsi="Calibri" w:cs="Calibri"/>
          <w:sz w:val="24"/>
          <w:szCs w:val="24"/>
        </w:rPr>
        <w:lastRenderedPageBreak/>
        <w:t>Sunumların sonunda öğrenciler HESler ve Akenerji’nin bölgedeki yatırımları ile ilgili sorular sorup, uzmanlarımızdan bilgi aldılar.</w:t>
      </w:r>
    </w:p>
    <w:p w:rsidR="00D03ABB" w:rsidRDefault="00D03ABB" w:rsidP="00D03ABB">
      <w:pPr>
        <w:spacing w:after="0" w:line="240" w:lineRule="auto"/>
        <w:ind w:right="-284"/>
      </w:pPr>
    </w:p>
    <w:p w:rsidR="00D03ABB" w:rsidRDefault="00D03ABB" w:rsidP="00D03ABB">
      <w:pPr>
        <w:spacing w:after="0" w:line="240" w:lineRule="auto"/>
        <w:ind w:right="-284"/>
        <w:rPr>
          <w:rFonts w:ascii="Calibri" w:hAnsi="Calibri" w:cs="Calibri"/>
          <w:sz w:val="24"/>
          <w:szCs w:val="24"/>
        </w:rPr>
      </w:pPr>
      <w:r>
        <w:rPr>
          <w:rFonts w:ascii="Calibri" w:hAnsi="Calibri" w:cs="Calibri"/>
          <w:sz w:val="24"/>
          <w:szCs w:val="24"/>
        </w:rPr>
        <w:t>Akenerji, HES bilgilendirme toplantılarına yatırımlarının bulunduğu diğer bölgelerde de devam edecek ve bölge halkının bilgilendirilmesi sağlanacak.</w:t>
      </w:r>
    </w:p>
    <w:p w:rsidR="007A6B6E" w:rsidRDefault="007A6B6E"/>
    <w:p w:rsidR="00EB0CEB" w:rsidRDefault="00EB0CEB" w:rsidP="00EB0CEB">
      <w:pPr>
        <w:spacing w:after="0" w:line="240" w:lineRule="auto"/>
        <w:ind w:left="-284" w:right="-284" w:firstLine="284"/>
        <w:rPr>
          <w:rFonts w:cstheme="minorHAnsi"/>
          <w:b/>
          <w:u w:val="single"/>
        </w:rPr>
      </w:pPr>
      <w:bookmarkStart w:id="0" w:name="_GoBack"/>
      <w:bookmarkEnd w:id="0"/>
    </w:p>
    <w:p w:rsidR="00EB0CEB" w:rsidRDefault="00EB0CEB" w:rsidP="00EB0CEB">
      <w:pPr>
        <w:spacing w:after="0" w:line="240" w:lineRule="auto"/>
        <w:ind w:left="-284" w:right="-284" w:firstLine="284"/>
        <w:rPr>
          <w:rFonts w:cstheme="minorHAnsi"/>
          <w:b/>
          <w:u w:val="single"/>
        </w:rPr>
      </w:pPr>
      <w:r>
        <w:rPr>
          <w:rFonts w:cstheme="minorHAnsi"/>
          <w:b/>
          <w:u w:val="single"/>
        </w:rPr>
        <w:t>Akenerji hakkında:</w:t>
      </w:r>
    </w:p>
    <w:p w:rsidR="00EB0CEB" w:rsidRDefault="00EB0CEB" w:rsidP="00EB0CEB">
      <w:pPr>
        <w:spacing w:after="0" w:line="240" w:lineRule="auto"/>
        <w:ind w:left="-284" w:right="-284" w:firstLine="284"/>
        <w:rPr>
          <w:rFonts w:cstheme="minorHAnsi"/>
          <w:b/>
          <w:u w:val="single"/>
        </w:rPr>
      </w:pPr>
    </w:p>
    <w:p w:rsidR="00EB0CEB" w:rsidRDefault="00EB0CEB" w:rsidP="00EB0CEB">
      <w:pPr>
        <w:ind w:right="-284"/>
        <w:jc w:val="both"/>
        <w:rPr>
          <w:b/>
          <w:bCs/>
          <w:u w:val="single"/>
        </w:rPr>
      </w:pPr>
      <w:r>
        <w:t xml:space="preserve">1224 MW kurulu gücü ve elektrik üretiminde 28 yıllık deneyimiyle enerji sektörünün öncüleri arasında yer alan Akenerji, Türkiye’nin en köklü gruplarından Akkök Holding ve Çek enerji grubu CEZ Group ortaklığıdır. Yüzde 25 hissesi halka açık olan şirket, 2010 yılında arka arkaya devreye aldığı Akocak, Burç, Bulam, Feke II ve Uluabat hidroelektrik santral projelerinden sonra, Yukarı Seyhan Havzası’nda Gökkaya Barajı ve HES, Himmetli Regülatörü ve HES, Feke I Regülatörü ve HES projelerinin yapımını da 2012 yılı itibarıyla tamamlamıştır. Şirket; 7 hidroelektrik, 1 rüzgar ve 1 doğal gaz çevrim santrali ile Türkiye enerji ihtiyacının %3,2’sini karşılama kapasitesine sahiptir. </w:t>
      </w:r>
    </w:p>
    <w:p w:rsidR="00EB0CEB" w:rsidRDefault="00EB0CEB"/>
    <w:sectPr w:rsidR="00EB0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BB"/>
    <w:rsid w:val="000B3606"/>
    <w:rsid w:val="007A6B6E"/>
    <w:rsid w:val="00D03ABB"/>
    <w:rsid w:val="00EB0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BB"/>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A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BB"/>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2578</Characters>
  <Application>Microsoft Office Word</Application>
  <DocSecurity>0</DocSecurity>
  <Lines>21</Lines>
  <Paragraphs>6</Paragraphs>
  <ScaleCrop>false</ScaleCrop>
  <Company>Hewlett-Packard Company</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Serhat Uçak</dc:creator>
  <cp:lastModifiedBy>Serhat Uçak</cp:lastModifiedBy>
  <cp:revision>3</cp:revision>
  <dcterms:created xsi:type="dcterms:W3CDTF">2017-11-27T07:36:00Z</dcterms:created>
  <dcterms:modified xsi:type="dcterms:W3CDTF">2017-11-27T10:38:00Z</dcterms:modified>
</cp:coreProperties>
</file>